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E7B94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D16A7D">
        <w:t>2</w:t>
      </w:r>
      <w:r w:rsidR="00E26576">
        <w:t>. červ</w:t>
      </w:r>
      <w:r w:rsidR="00D16A7D">
        <w:t>ence</w:t>
      </w:r>
      <w:bookmarkStart w:id="0" w:name="_GoBack"/>
      <w:bookmarkEnd w:id="0"/>
      <w:r w:rsidR="00E26576">
        <w:t xml:space="preserve"> 2020</w:t>
      </w:r>
    </w:p>
    <w:p w:rsidR="00E26576" w:rsidRDefault="00E26576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E26576">
        <w:rPr>
          <w:rFonts w:ascii="Arial" w:hAnsi="Arial" w:cs="Arial"/>
          <w:b/>
          <w:sz w:val="28"/>
          <w:szCs w:val="28"/>
          <w:lang w:val="cs-CZ" w:eastAsia="cs-CZ"/>
        </w:rPr>
        <w:t>Evro</w:t>
      </w:r>
      <w:r w:rsidR="00D7177B">
        <w:rPr>
          <w:rFonts w:ascii="Arial" w:hAnsi="Arial" w:cs="Arial"/>
          <w:b/>
          <w:sz w:val="28"/>
          <w:szCs w:val="28"/>
          <w:lang w:val="cs-CZ" w:eastAsia="cs-CZ"/>
        </w:rPr>
        <w:t>pský maloobchod se zotavuje, ale</w:t>
      </w:r>
      <w:r w:rsidRPr="00E26576">
        <w:rPr>
          <w:rFonts w:ascii="Arial" w:hAnsi="Arial" w:cs="Arial"/>
          <w:b/>
          <w:sz w:val="28"/>
          <w:szCs w:val="28"/>
          <w:lang w:val="cs-CZ" w:eastAsia="cs-CZ"/>
        </w:rPr>
        <w:t xml:space="preserve"> luxusní zboží potřebuje ty, kteří hodně utrácí</w:t>
      </w:r>
    </w:p>
    <w:p w:rsidR="00E26576" w:rsidRDefault="00E26576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E26576">
        <w:rPr>
          <w:b/>
          <w:lang w:val="x-none" w:eastAsia="x-none"/>
        </w:rPr>
        <w:t xml:space="preserve">Evropa se začíná „oklepávat“ z omezení pohybu a podle analýzy Fidelity International ukazují čerstvá data známky oživení u maloobchodu, jednoho z nejvíce zasažených odvětví. U luxusního zboží je kvůli absenci čínských turistů, kteří hodně utrácí a představují až 40 procent poptávky v tomto sektoru, nejbližší výhled nejistý. </w:t>
      </w:r>
    </w:p>
    <w:p w:rsidR="00E26576" w:rsidRPr="00E26576" w:rsidRDefault="00E26576" w:rsidP="00E26576">
      <w:pPr>
        <w:pStyle w:val="F2-zkladn"/>
        <w:tabs>
          <w:tab w:val="right" w:pos="9070"/>
        </w:tabs>
        <w:rPr>
          <w:b/>
        </w:rPr>
      </w:pPr>
      <w:r w:rsidRPr="00E26576">
        <w:rPr>
          <w:b/>
        </w:rPr>
        <w:t>Utrácení jako odveta</w:t>
      </w:r>
      <w:r w:rsidR="005C42CA">
        <w:rPr>
          <w:b/>
        </w:rPr>
        <w:t>,</w:t>
      </w:r>
      <w:r w:rsidRPr="00E26576">
        <w:rPr>
          <w:b/>
        </w:rPr>
        <w:t xml:space="preserve"> nebo odložená poptávka?</w:t>
      </w:r>
    </w:p>
    <w:p w:rsidR="00E26576" w:rsidRDefault="00E26576" w:rsidP="00E26576">
      <w:pPr>
        <w:pStyle w:val="F2-zkladn"/>
        <w:tabs>
          <w:tab w:val="right" w:pos="9070"/>
        </w:tabs>
      </w:pPr>
      <w:r>
        <w:t>Počáteční údaje o maloobchodních prodejích v Evropě vypadají slibně. Pokles množství návštěvníků obchodů se zmenšuje (</w:t>
      </w:r>
      <w:r w:rsidR="00500668">
        <w:t xml:space="preserve">viz </w:t>
      </w:r>
      <w:r>
        <w:t>graf), ale ještě zbývá zjistit, co bude následovat po uvolnění pohybu – jak bude vypadat tzv. „</w:t>
      </w:r>
      <w:proofErr w:type="spellStart"/>
      <w:r>
        <w:t>revenge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>“. Po nákupech toužící spotřebitelé si mohou nadměrně kompenzovat předchozí omezení. Zejména maloobchodní prodej se hned v prvních několika týdnech po opětovném otevření ekonomik Německa a Švýcarska zotavil rychleji, než se očekávalo.</w:t>
      </w:r>
    </w:p>
    <w:p w:rsidR="005C42CA" w:rsidRDefault="009E4561" w:rsidP="00E26576">
      <w:pPr>
        <w:pStyle w:val="F2-zkladn"/>
        <w:tabs>
          <w:tab w:val="right" w:pos="9070"/>
        </w:tabs>
      </w:pPr>
      <w:r w:rsidRPr="009E45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57210</wp:posOffset>
            </wp:positionH>
            <wp:positionV relativeFrom="paragraph">
              <wp:posOffset>443518</wp:posOffset>
            </wp:positionV>
            <wp:extent cx="5759450" cy="3146262"/>
            <wp:effectExtent l="0" t="0" r="0" b="0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3" name="Obrázek 3" descr="C:\Users\Marcela Štefcová\OneDrive - Crest Communications, a.s\PR-Korporátní komunikace\FIDELITY\2020\Media relations\TZ\06_luxusní zbožní\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Štefcová\OneDrive - Crest Communications, a.s\PR-Korporátní komunikace\FIDELITY\2020\Media relations\TZ\06_luxusní zbožní\Gra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Graf</w:t>
      </w:r>
      <w:r w:rsidR="00E26576">
        <w:t>: Dopad Covid-19 na počty návštěvníků evropských maloobchodů</w:t>
      </w:r>
    </w:p>
    <w:p w:rsidR="00E26576" w:rsidRPr="00E26576" w:rsidRDefault="00E26576" w:rsidP="00E26576">
      <w:pPr>
        <w:pStyle w:val="F2-zkladn"/>
        <w:tabs>
          <w:tab w:val="right" w:pos="9070"/>
        </w:tabs>
        <w:rPr>
          <w:b/>
        </w:rPr>
      </w:pPr>
      <w:r w:rsidRPr="00E26576">
        <w:rPr>
          <w:b/>
        </w:rPr>
        <w:t>Poptávka po luxusním zboží v Evropě ochabuje, protože turisté zůstávají doma</w:t>
      </w:r>
    </w:p>
    <w:p w:rsidR="00E26576" w:rsidRDefault="00E26576" w:rsidP="00E26576">
      <w:pPr>
        <w:pStyle w:val="F2-zkladn"/>
        <w:tabs>
          <w:tab w:val="right" w:pos="9070"/>
        </w:tabs>
      </w:pPr>
      <w:r>
        <w:t>Na rozdíl od maloobchodu je krátkodobý výhled na poptávku po luxusním zboží v Evropě méně jistý kvůli naprosté absenci čínských, ale i jiných</w:t>
      </w:r>
      <w:r w:rsidR="006A1E97">
        <w:t>, turistů</w:t>
      </w:r>
      <w:r>
        <w:t xml:space="preserve"> v Evropě. Čínský sklon k nakupování luxusního zboží je bezprecedentní a čínští turisté představují asi 50 procent kupujících luxusní</w:t>
      </w:r>
      <w:r w:rsidR="006A1E97">
        <w:t>ho</w:t>
      </w:r>
      <w:r>
        <w:t xml:space="preserve"> zboží v Evropě. </w:t>
      </w:r>
      <w:r>
        <w:lastRenderedPageBreak/>
        <w:t>Celkově představuje Čína zhruba 40 procent prodejů veškerého luxusního zboží a tvoří 70 procent rostoucí poptávky po luxusním zboží.</w:t>
      </w:r>
    </w:p>
    <w:p w:rsidR="00E26576" w:rsidRDefault="00E26576" w:rsidP="00E26576">
      <w:pPr>
        <w:pStyle w:val="F2-zkladn"/>
        <w:tabs>
          <w:tab w:val="right" w:pos="9070"/>
        </w:tabs>
      </w:pPr>
      <w:r>
        <w:t xml:space="preserve">Vzhledem k tomu, že čínští turisté zůstávají doma a utrácí ve své domovině, silně vzrostla poptávka po luxusu přímo v Číně. Například obchod Hermes v </w:t>
      </w:r>
      <w:proofErr w:type="spellStart"/>
      <w:r>
        <w:t>Guangzhou</w:t>
      </w:r>
      <w:proofErr w:type="spellEnd"/>
      <w:r w:rsidR="006A1E97">
        <w:t xml:space="preserve"> zaznamenal v dubnu, v den, kdy</w:t>
      </w:r>
      <w:r>
        <w:t xml:space="preserve"> znovu otevřel, rekordní tržby ve výši 2,7 milionu dolarů. Společnost LVMH, která je v této oblasti považována za lídra, uvedla, že v dubnu zaznamenala 50procentní nárůst u klíčových značek jako Louis </w:t>
      </w:r>
      <w:proofErr w:type="spellStart"/>
      <w:r>
        <w:t>Vuitton</w:t>
      </w:r>
      <w:proofErr w:type="spellEnd"/>
      <w:r>
        <w:t xml:space="preserve">, Christian </w:t>
      </w:r>
      <w:proofErr w:type="spellStart"/>
      <w:r>
        <w:t>Dior</w:t>
      </w:r>
      <w:proofErr w:type="spellEnd"/>
      <w:r>
        <w:t xml:space="preserve">, </w:t>
      </w:r>
      <w:proofErr w:type="spellStart"/>
      <w:r>
        <w:t>Bulgari</w:t>
      </w:r>
      <w:proofErr w:type="spellEnd"/>
      <w:r>
        <w:t xml:space="preserve"> a </w:t>
      </w:r>
      <w:proofErr w:type="spellStart"/>
      <w:r>
        <w:t>S</w:t>
      </w:r>
      <w:r w:rsidR="006A1E97">
        <w:t>ephora</w:t>
      </w:r>
      <w:proofErr w:type="spellEnd"/>
      <w:r w:rsidR="006A1E97">
        <w:t xml:space="preserve">. </w:t>
      </w:r>
      <w:proofErr w:type="spellStart"/>
      <w:r w:rsidR="006A1E97">
        <w:t>Tiffany</w:t>
      </w:r>
      <w:proofErr w:type="spellEnd"/>
      <w:r w:rsidR="006A1E97">
        <w:t xml:space="preserve"> nedávno oznámil meziroční</w:t>
      </w:r>
      <w:r>
        <w:t xml:space="preserve"> nárůst prodejů v květnu o 90 procent.</w:t>
      </w:r>
    </w:p>
    <w:p w:rsidR="00E26576" w:rsidRDefault="00E26576" w:rsidP="00E26576">
      <w:pPr>
        <w:pStyle w:val="F2-zkladn"/>
        <w:tabs>
          <w:tab w:val="right" w:pos="9070"/>
        </w:tabs>
      </w:pPr>
      <w:r>
        <w:t>Naproti tomu jsou luxusní obchody v Evropě v cen</w:t>
      </w:r>
      <w:r w:rsidR="006A1E97">
        <w:t>trech módy, jakými jsou v Milán</w:t>
      </w:r>
      <w:r>
        <w:t xml:space="preserve"> a Paříž, opuštěné kvůli obavám z druhé vlny infekce a závažnosti globální recese. Další velký test evropské cesty k oživení – a návratu k turistickému ruchu – přijde, až devět zemí včetně Německa a Francie otevře své hranice ostatním zemím EU.</w:t>
      </w:r>
    </w:p>
    <w:p w:rsidR="00E26576" w:rsidRPr="00E26576" w:rsidRDefault="00E26576" w:rsidP="00E26576">
      <w:pPr>
        <w:pStyle w:val="F2-zkladn"/>
        <w:tabs>
          <w:tab w:val="right" w:pos="9070"/>
        </w:tabs>
        <w:rPr>
          <w:b/>
        </w:rPr>
      </w:pPr>
      <w:r w:rsidRPr="00E26576">
        <w:rPr>
          <w:b/>
        </w:rPr>
        <w:t xml:space="preserve">Luxusní móda, oblečení pro volný čas a </w:t>
      </w:r>
      <w:proofErr w:type="spellStart"/>
      <w:r w:rsidRPr="00E26576">
        <w:rPr>
          <w:b/>
        </w:rPr>
        <w:t>wellness</w:t>
      </w:r>
      <w:proofErr w:type="spellEnd"/>
      <w:r w:rsidRPr="00E26576">
        <w:rPr>
          <w:b/>
        </w:rPr>
        <w:t xml:space="preserve"> v oblibě </w:t>
      </w:r>
    </w:p>
    <w:p w:rsidR="00E26576" w:rsidRDefault="00E26576" w:rsidP="00E26576">
      <w:pPr>
        <w:pStyle w:val="F2-zkladn"/>
        <w:tabs>
          <w:tab w:val="right" w:pos="9070"/>
        </w:tabs>
      </w:pPr>
      <w:r>
        <w:t>„</w:t>
      </w:r>
      <w:r w:rsidRPr="00E26576">
        <w:rPr>
          <w:i/>
        </w:rPr>
        <w:t xml:space="preserve">Jakmile se ekonomiky začnou normalizovat, očekáváme posun v chování spotřebitelů. Ti se obávají recese a nejistoty zaměstnání a pravděpodobně více šetří a méně utrácí. Pokud nakupují luxusní zboží, pravděpodobně </w:t>
      </w:r>
      <w:r w:rsidR="006A1E97">
        <w:rPr>
          <w:i/>
        </w:rPr>
        <w:t xml:space="preserve">se </w:t>
      </w:r>
      <w:r w:rsidRPr="00E26576">
        <w:rPr>
          <w:i/>
        </w:rPr>
        <w:t xml:space="preserve">rozhodnou pro zavedené značky a klasické modely, které byly navíc eticky vyrobeny. </w:t>
      </w:r>
      <w:proofErr w:type="spellStart"/>
      <w:r w:rsidRPr="00E26576">
        <w:rPr>
          <w:i/>
        </w:rPr>
        <w:t>Mileniálové</w:t>
      </w:r>
      <w:proofErr w:type="spellEnd"/>
      <w:r w:rsidRPr="00E26576">
        <w:rPr>
          <w:i/>
        </w:rPr>
        <w:t>, kteří jsou motorem tohoto růstu posledních pár let, mohou být méně stálí než starší zákazníci, přičemž přechod na online obchod je – stejně jako ve všech oblastech – krizí urychlen</w:t>
      </w:r>
      <w:r>
        <w:t xml:space="preserve">,“ vysvětluje Aneta </w:t>
      </w:r>
      <w:proofErr w:type="spellStart"/>
      <w:r>
        <w:t>Wynimko</w:t>
      </w:r>
      <w:proofErr w:type="spellEnd"/>
      <w:r>
        <w:t xml:space="preserve">, </w:t>
      </w:r>
      <w:proofErr w:type="spellStart"/>
      <w:r>
        <w:t>spolumanažerka</w:t>
      </w:r>
      <w:proofErr w:type="spellEnd"/>
      <w:r>
        <w:t xml:space="preserve"> portfolia fondu Fidelity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 </w:t>
      </w:r>
      <w:proofErr w:type="spellStart"/>
      <w:r>
        <w:t>Fund</w:t>
      </w:r>
      <w:proofErr w:type="spellEnd"/>
      <w:r>
        <w:t>.</w:t>
      </w:r>
    </w:p>
    <w:p w:rsidR="00E26576" w:rsidRDefault="00E26576" w:rsidP="00E26576">
      <w:pPr>
        <w:pStyle w:val="F2-zkladn"/>
        <w:tabs>
          <w:tab w:val="right" w:pos="9070"/>
        </w:tabs>
      </w:pPr>
      <w:r>
        <w:t xml:space="preserve">V reakci na měnící se chování spotřebitelů módní dům </w:t>
      </w:r>
      <w:proofErr w:type="spellStart"/>
      <w:r>
        <w:t>Gucci</w:t>
      </w:r>
      <w:proofErr w:type="spellEnd"/>
      <w:r>
        <w:t xml:space="preserve"> nedávno uvedl, že jeho kolekce budou mít delší životnost. V zásadě budou „bez sezóny“, protože se snížil počet každoročně pořádaných přehlídek z pěti na dvě. Mezitím vzrostla poptávka po ležérním stylu kvůli množství lidí pracujících z dom</w:t>
      </w:r>
      <w:r w:rsidR="006A1E97">
        <w:t xml:space="preserve">ova. Tento zájem pravděpodobně </w:t>
      </w:r>
      <w:r>
        <w:t xml:space="preserve">zůstane silný i nadále. Očekává se také růst poptávky po zdravotních a </w:t>
      </w:r>
      <w:proofErr w:type="spellStart"/>
      <w:r>
        <w:t>wellness</w:t>
      </w:r>
      <w:proofErr w:type="spellEnd"/>
      <w:r>
        <w:t xml:space="preserve"> produktech. Ta ostatně už v posledních měsících zaznamenala nárůst.</w:t>
      </w:r>
    </w:p>
    <w:p w:rsidR="00E26576" w:rsidRDefault="00E26576" w:rsidP="00E26576">
      <w:pPr>
        <w:pStyle w:val="F2-zkladn"/>
        <w:tabs>
          <w:tab w:val="right" w:pos="9070"/>
        </w:tabs>
      </w:pPr>
      <w:r>
        <w:t>V maloobchodě sice roste poptávka, stále však existují otázky týkající se tempa zotavení. Existují obavy ohledně důsledků přechodu na online a chuť oblékat se módně ve světě, kde panuje sociální distanc. Přebytek zásob a očekávané rozsáhlé slevy budou v krátkodobém až střednědobém horizontu v tomto sektoru působit také jako protivítr.</w:t>
      </w:r>
    </w:p>
    <w:p w:rsidR="00E26576" w:rsidRPr="00E26576" w:rsidRDefault="00E26576" w:rsidP="00E26576">
      <w:pPr>
        <w:pStyle w:val="F2-zkladn"/>
        <w:tabs>
          <w:tab w:val="right" w:pos="9070"/>
        </w:tabs>
        <w:rPr>
          <w:b/>
        </w:rPr>
      </w:pPr>
      <w:r w:rsidRPr="00E26576">
        <w:rPr>
          <w:b/>
        </w:rPr>
        <w:t>Vedoucí luxusní značky mohou získat tržní podíl, ale bude o něj bojovat mnoho z nich</w:t>
      </w:r>
    </w:p>
    <w:p w:rsidR="00E26576" w:rsidRDefault="00E26576" w:rsidP="00E26576">
      <w:pPr>
        <w:pStyle w:val="F2-zkladn"/>
        <w:tabs>
          <w:tab w:val="right" w:pos="9070"/>
        </w:tabs>
      </w:pPr>
      <w:r w:rsidRPr="00E26576">
        <w:rPr>
          <w:i/>
        </w:rPr>
        <w:t>„Za posledních 12 měsíců si vedly luxusní značky lépe než celé odvětví, byly poháněné poptávkou z Číny. A i přes velmi nejistý výhled spotřebitelů jsme stále pozitivní, co se týče luxusních značek. Společnosti z této skupiny mají obvykle silné rozvahy, vysoké marže a co se týče zásob, stojí si rovněž lépe díky flexibilnějším dodavatelským řetězcům. Lídři v tomto odvětví toho využili k dalšímu posílení svých pozic. Kladou větší důraz na udržitelnost svých dodavatelských řetězců a své fungování. To pěkně zapadá do toho, co spotřebitelé dnes chtějí: trvanlivé, udržitelné výrobky, které mají také hodnotu při dalším prodeji. I nadále upřednostňujeme některé ze zavedených značek, které se ukázaly jako nejodolnější a rychle se zotavují</w:t>
      </w:r>
      <w:r>
        <w:t xml:space="preserve">,“ komentuje Aneta </w:t>
      </w:r>
      <w:proofErr w:type="spellStart"/>
      <w:r>
        <w:t>Wynimko</w:t>
      </w:r>
      <w:proofErr w:type="spellEnd"/>
      <w:r>
        <w:t xml:space="preserve"> z Fidelity International.</w:t>
      </w:r>
    </w:p>
    <w:p w:rsidR="00A30105" w:rsidRDefault="00E26576" w:rsidP="00E26576">
      <w:pPr>
        <w:pStyle w:val="F2-zkladn"/>
        <w:tabs>
          <w:tab w:val="right" w:pos="9070"/>
        </w:tabs>
      </w:pPr>
      <w:r>
        <w:t xml:space="preserve">Pokud jde o maloobchod, zatímco krátkodobá data překvapila, dlouhodobý výhled je podle Fidelity International extrémní výzvou při současných strukturálních otázkách ohledně maloobchodních modelů </w:t>
      </w:r>
      <w:r>
        <w:lastRenderedPageBreak/>
        <w:t xml:space="preserve">ve světě po </w:t>
      </w:r>
      <w:proofErr w:type="spellStart"/>
      <w:r>
        <w:t>koronaviru</w:t>
      </w:r>
      <w:proofErr w:type="spellEnd"/>
      <w:r>
        <w:t xml:space="preserve"> a při hrozbě druhé vlny. Oživení v současné době probíhá poměrně rychle, ale je zřejmé, že ve druhém čtvrtletí budou společnosti vykazovat prudký pokles tržeb a slevy budou mít negativní dopad na ziskovost.</w:t>
      </w:r>
      <w:r w:rsidR="00A30105">
        <w:t xml:space="preserve"> </w:t>
      </w:r>
    </w:p>
    <w:p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:rsidR="00E26576" w:rsidRDefault="00E26576" w:rsidP="00AC35C4">
      <w:pPr>
        <w:pStyle w:val="F2-zkladn"/>
        <w:tabs>
          <w:tab w:val="right" w:pos="9070"/>
        </w:tabs>
        <w:rPr>
          <w:b/>
        </w:rPr>
      </w:pPr>
    </w:p>
    <w:p w:rsidR="00607541" w:rsidRDefault="00607541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1D6FCF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0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r w:rsidRPr="008F1A81">
        <w:rPr>
          <w:b/>
          <w:sz w:val="18"/>
        </w:rPr>
        <w:t xml:space="preserve">Fidelity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Fidelity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Investment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lastRenderedPageBreak/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1"/>
      <w:footerReference w:type="default" r:id="rId12"/>
      <w:headerReference w:type="first" r:id="rId13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CF" w:rsidRDefault="001D6FCF">
      <w:r>
        <w:separator/>
      </w:r>
    </w:p>
  </w:endnote>
  <w:endnote w:type="continuationSeparator" w:id="0">
    <w:p w:rsidR="001D6FCF" w:rsidRDefault="001D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CF" w:rsidRDefault="001D6FCF">
      <w:r>
        <w:separator/>
      </w:r>
    </w:p>
  </w:footnote>
  <w:footnote w:type="continuationSeparator" w:id="0">
    <w:p w:rsidR="001D6FCF" w:rsidRDefault="001D6FCF">
      <w:r>
        <w:continuationSeparator/>
      </w:r>
    </w:p>
  </w:footnote>
  <w:footnote w:type="continuationNotice" w:id="1">
    <w:p w:rsidR="001D6FCF" w:rsidRDefault="001D6F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0A66466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13644DD4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3092A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44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C8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7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64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A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C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C4F2F71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CC74F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8B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F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A3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4D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C8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6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C7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37DBA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6FCF"/>
    <w:rsid w:val="001D7A7E"/>
    <w:rsid w:val="001E2936"/>
    <w:rsid w:val="001E476B"/>
    <w:rsid w:val="001E57AB"/>
    <w:rsid w:val="001E67FF"/>
    <w:rsid w:val="001F4B06"/>
    <w:rsid w:val="001F627F"/>
    <w:rsid w:val="001F6FC1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8B2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668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42CA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7541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1E97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4561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36C4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6A7D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177B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6576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710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76E8-CAB7-449F-B8FB-105E5602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1619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11153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Marcela Štefcová</cp:lastModifiedBy>
  <cp:revision>9</cp:revision>
  <cp:lastPrinted>2015-12-01T02:29:00Z</cp:lastPrinted>
  <dcterms:created xsi:type="dcterms:W3CDTF">2020-06-29T13:01:00Z</dcterms:created>
  <dcterms:modified xsi:type="dcterms:W3CDTF">2020-07-02T09:36:00Z</dcterms:modified>
</cp:coreProperties>
</file>